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</w:rPr>
        <w:t>Aaliyha Clemons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Corrections 101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it-IT"/>
        </w:rPr>
        <w:t>Professor Gibson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</w:rPr>
        <w:t>November 1,2018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sz w:val="24"/>
          <w:szCs w:val="24"/>
          <w:rtl w:val="0"/>
        </w:rPr>
        <w:t xml:space="preserve">                       </w:t>
      </w: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In this day and age, should prison overcrowding be an issue?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Prison overcrowding has been around since the 1800</w:t>
      </w:r>
      <w:r>
        <w:rPr>
          <w:rFonts w:ascii="Times" w:hAnsi="Times" w:hint="default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</w:rPr>
        <w:t>’</w:t>
      </w: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s and it is still a major issue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affecting our country today. Sentence reform and prison reform have recently become popular.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Many Americans are now noticing how sentences are not just amongst offenders and how the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criminal justice system</w:t>
      </w:r>
      <w:r>
        <w:rPr>
          <w:rFonts w:ascii="Times" w:hAnsi="Times" w:hint="default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</w:rPr>
        <w:t>’</w:t>
      </w: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s main goals are not useful anymore. The five goals of the criminal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justice system are to have incapacitation, recidivism, rehabilitation, deterrence, and restorative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justice. The system</w:t>
      </w:r>
      <w:r>
        <w:rPr>
          <w:rFonts w:ascii="Times" w:hAnsi="Times" w:hint="default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</w:rPr>
        <w:t>’</w:t>
      </w: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s main goals have apparently not been proactive based on the fact that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prisons are being overcrowded. Even efforts to reduce prison crowding, that have led to the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overcrowding of county jails, in which convicted felons wait for vacant cells in a state prison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have became an issue.</w:t>
      </w:r>
    </w:p>
    <w:p>
      <w:pPr>
        <w:pStyle w:val="Body"/>
        <w:widowControl w:val="0"/>
        <w:spacing w:after="100" w:line="480" w:lineRule="auto"/>
        <w:ind w:firstLine="720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Majority of the cases that cause prison overcrowding are from repeat offenders or those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who are drug offenders. The sharp increase of cases were caused by the implementation of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mandatory minimums for drug offenses which started in the 1980s. This ended up making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penalties stricter for all offenders in federal court (Golash-Boza, 2017). Mandatory minimum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sentences, are laws that set minimum sentences for particular crimes that judges are unable to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change. These sentences are mostly directly towards drug offenses. Furthermore, the war on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drugs was big in the 1980s, but it slowed down toward the 20th century. The war on drugs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mostly discriminated against poor minorities. According to Drug Policy Alliance, research shows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that prosecutors are twice as likely to pursue a mandatory minimum sentence for black people as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for white people charged with the same offense. Amongst the individuals who received a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mandatory minimum sentence in 2011, 38% were Latino and 31% were black. Whites would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consume cocaine as well as sell cocaine, however not be penalized as indifferently as minorities.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This illuminates why there are so many minorities in prisons and why they</w:t>
      </w:r>
      <w:r>
        <w:rPr>
          <w:rFonts w:ascii="Times" w:hAnsi="Times" w:hint="default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</w:rPr>
        <w:t>’</w:t>
      </w: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re overcrowding.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People are given long sentences and not being rehabilitated the correct way. The Fair Sentencing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Act was finally made due to reforms exuding how wrong it has been, however the criminal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justice system continually makes poor decisions and there are still changes to be made. In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 w:hint="default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</w:rPr>
        <w:t>“</w:t>
      </w: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Sentencing Reform</w:t>
      </w:r>
      <w:r>
        <w:rPr>
          <w:rFonts w:ascii="Times" w:hAnsi="Times" w:hint="default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</w:rPr>
        <w:t>”</w:t>
      </w: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, A 22 year old man was sentenced 55 years, simply for selling marijuana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and carrying a gun for his safety. He has two children he won't see until he is 80 years old. That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is cruel and unusual punishment. The offender was a young, hispanic male, this could of been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taken into accountability during the pre-trial. The article explains how people favor the judge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having more of a decision. This is a violation of the 8th and 14th amendments. This exhibits how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mandatory sentencing can ruin someone life for a petty crime.</w:t>
      </w:r>
    </w:p>
    <w:p>
      <w:pPr>
        <w:pStyle w:val="Body"/>
        <w:widowControl w:val="0"/>
        <w:spacing w:after="100" w:line="480" w:lineRule="auto"/>
        <w:ind w:firstLine="720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Sentencing laws need to be amended because individuals are going to prison and jail for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petty offenses. In 2016, A Texas woman was sentenced to 5 years in prison simply for voting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while on probation. She was still on community supervision at the time of the election, however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no one, including her probation officer ever told her that being a felon on supervision meant she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couldn</w:t>
      </w:r>
      <w:r>
        <w:rPr>
          <w:rFonts w:ascii="Times" w:hAnsi="Times" w:hint="default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</w:rPr>
        <w:t>’</w:t>
      </w: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t vote under Texas law (Flynn, 2018). This demonstrates how the sentencing laws need to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be evaluated especially in Texas. The Texas women, by the name of Mason has friends as well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as a family that she been away from for years. The 15, 19, and 26 amendments grant the right for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individuals to vote and without any discrimination based on race, age or gender. Why would she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jeopardize her freedom and leave her family again to go vote like every other American does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111111"/>
          <w:sz w:val="24"/>
          <w:szCs w:val="24"/>
          <w:u w:val="none" w:color="111111"/>
          <w:vertAlign w:val="baseline"/>
          <w:rtl w:val="0"/>
          <w:lang w:val="en-US"/>
        </w:rPr>
        <w:t>during election?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Due to overcrowding in prisons, this can also lead to unsanitary conditions in the prisons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which can lead to diseases and mental health being affected. In addition, it can increase self harm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and violence in the prison environment which can potentially affect inmates and correctional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officers. The case Brown v. Plate was focused on prison overcrowding in California. The prisons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in california had twice as many people which was not safe for the inmates health.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In conclusion, the criminal justice system has to be changed for a number of reasons.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America has the most people that are in prison and jail. This reveals that we mostly put people in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prison or jail for petty reasons. I hypothesize that if we create more programs and opportunities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for people prisons would be less crowd and less people would reoffend. However there is an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issue that needs attention. Judges should have a choice when it comes to prison overcrowding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pPr>
      <w:r>
        <w:rPr>
          <w:rFonts w:ascii="Times" w:hAnsi="Times"/>
          <w:caps w:val="0"/>
          <w:smallCaps w:val="0"/>
          <w:strike w:val="0"/>
          <w:dstrike w:val="0"/>
          <w:color w:val="000000"/>
          <w:sz w:val="24"/>
          <w:szCs w:val="24"/>
          <w:u w:val="none" w:color="000000"/>
          <w:vertAlign w:val="baseline"/>
          <w:rtl w:val="0"/>
          <w:lang w:val="en-US"/>
        </w:rPr>
        <w:t>and sentencing. These are steps that we can take to minimize the problem.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b w:val="1"/>
          <w:bCs w:val="1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rtl w:val="0"/>
        </w:rPr>
        <w:t xml:space="preserve">                                           </w:t>
      </w:r>
      <w:r>
        <w:rPr>
          <w:rFonts w:ascii="Times" w:hAnsi="Times"/>
          <w:b w:val="1"/>
          <w:bCs w:val="1"/>
          <w:sz w:val="24"/>
          <w:szCs w:val="24"/>
          <w:u w:val="single"/>
          <w:rtl w:val="0"/>
          <w:lang w:val="fr-FR"/>
        </w:rPr>
        <w:t>Citations</w:t>
      </w:r>
    </w:p>
    <w:p>
      <w:pPr>
        <w:pStyle w:val="Body"/>
        <w:widowControl w:val="0"/>
        <w:spacing w:after="100" w:line="480" w:lineRule="auto"/>
        <w:rPr>
          <w:rFonts w:ascii="Times" w:cs="Times" w:hAnsi="Times" w:eastAsia="Times"/>
          <w:b w:val="1"/>
          <w:bCs w:val="1"/>
          <w:sz w:val="24"/>
          <w:szCs w:val="24"/>
          <w:u w:val="single"/>
        </w:rPr>
      </w:pPr>
    </w:p>
    <w:p>
      <w:pPr>
        <w:pStyle w:val="Body"/>
        <w:widowControl w:val="0"/>
        <w:rPr>
          <w:rFonts w:ascii="Times" w:cs="Times" w:hAnsi="Times" w:eastAsia="Times"/>
          <w:sz w:val="24"/>
          <w:szCs w:val="24"/>
        </w:rPr>
      </w:pPr>
    </w:p>
    <w:p>
      <w:pPr>
        <w:pStyle w:val="Body"/>
        <w:widowControl w:val="0"/>
        <w:shd w:val="clear" w:color="auto" w:fill="ffffff"/>
        <w:rPr>
          <w:rStyle w:val="Hyperlink.1"/>
        </w:rPr>
      </w:pPr>
      <w:r>
        <w:rPr>
          <w:rFonts w:ascii="Times New Roman" w:hAnsi="Times New Roman"/>
          <w:color w:val="333333"/>
          <w:sz w:val="18"/>
          <w:szCs w:val="18"/>
          <w:u w:color="333333"/>
          <w:rtl w:val="0"/>
          <w:lang w:val="en-US"/>
        </w:rPr>
        <w:t>Flynn, M. (2018, March 30). Texas woman sentenced to 5 years in prison for voting while on probation. Retrieved from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"https://www.washingtonpost.com/news/morning-mix/wp/2018/03/30/texas-woman-sentenced-to-5-years-in-prison-for-voting-while-on-probation/?noredirect=on&amp;utm_term=.2fa5a60beab7"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 xml:space="preserve"> </w:t>
      </w:r>
      <w:r>
        <w:rPr/>
        <w:fldChar w:fldCharType="end" w:fldLock="0"/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"https://www.washingtonpost.com/news/morning-mix/wp/2018/03/30/texas-woman-sentenced-to-5-years-in-prison-for-voting-while-on-probation/?noredirect=on&amp;utm_term=.2fa5a60beab7"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https://www.washingtonpost.com/news/morning-mix/wp/2018/03/30/texas-woman-sentenced-to-5-years-in-prison-for-voting-while-on-probation/?noredirect=on&amp;utm_term=.2fa5a60beab7</w:t>
      </w:r>
    </w:p>
    <w:p>
      <w:pPr>
        <w:pStyle w:val="Body"/>
        <w:widowControl w:val="0"/>
        <w:shd w:val="clear" w:color="auto" w:fill="ffffff"/>
        <w:rPr>
          <w:rStyle w:val="None"/>
          <w:rFonts w:ascii="Times New Roman" w:cs="Times New Roman" w:hAnsi="Times New Roman" w:eastAsia="Times New Roman"/>
          <w:color w:val="1155cc"/>
          <w:sz w:val="18"/>
          <w:szCs w:val="18"/>
          <w:u w:color="1155cc"/>
        </w:rPr>
      </w:pPr>
      <w:r>
        <w:rPr>
          <w:rFonts w:ascii="Times New Roman" w:cs="Times New Roman" w:hAnsi="Times New Roman" w:eastAsia="Times New Roman"/>
          <w:color w:val="1155cc"/>
          <w:sz w:val="18"/>
          <w:szCs w:val="18"/>
          <w:u w:color="1155cc"/>
        </w:rPr>
        <w:fldChar w:fldCharType="end" w:fldLock="0"/>
      </w:r>
    </w:p>
    <w:p>
      <w:pPr>
        <w:pStyle w:val="Body"/>
        <w:widowControl w:val="0"/>
        <w:shd w:val="clear" w:color="auto" w:fill="ffffff"/>
        <w:rPr>
          <w:rStyle w:val="Hyperlink.1"/>
        </w:rPr>
      </w:pPr>
      <w:r>
        <w:rPr>
          <w:rStyle w:val="Hyperlink.0"/>
          <w:rtl w:val="0"/>
          <w:lang w:val="en-US"/>
        </w:rPr>
        <w:t>Glazer, S. (2014). Sentencing Reform. Retrieved from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"http://library.cqpress.com.ez.lib.jjay.cuny.edu/cqresearcher/getpdf.php?id=cqresrre2014011000"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 xml:space="preserve"> </w:t>
      </w:r>
      <w:r>
        <w:rPr/>
        <w:fldChar w:fldCharType="end" w:fldLock="0"/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"http://library.cqpress.com.ez.lib.jjay.cuny.edu/cqresearcher/getpdf.php?id=cqresrre2014011000"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http://library.cqpress.com.ez.lib.jjay.cuny.edu/cqresearcher/getpdf.php?id=cqresrre2014011000</w:t>
      </w:r>
    </w:p>
    <w:p>
      <w:pPr>
        <w:pStyle w:val="Body"/>
        <w:widowControl w:val="0"/>
        <w:shd w:val="clear" w:color="auto" w:fill="ffffff"/>
        <w:rPr>
          <w:rStyle w:val="None"/>
          <w:rFonts w:ascii="Times New Roman" w:cs="Times New Roman" w:hAnsi="Times New Roman" w:eastAsia="Times New Roman"/>
          <w:color w:val="1155cc"/>
          <w:sz w:val="18"/>
          <w:szCs w:val="18"/>
          <w:u w:color="1155cc"/>
        </w:rPr>
      </w:pPr>
      <w:r>
        <w:rPr>
          <w:rFonts w:ascii="Times New Roman" w:cs="Times New Roman" w:hAnsi="Times New Roman" w:eastAsia="Times New Roman"/>
          <w:color w:val="1155cc"/>
          <w:sz w:val="18"/>
          <w:szCs w:val="18"/>
          <w:u w:color="1155cc"/>
        </w:rPr>
        <w:fldChar w:fldCharType="end" w:fldLock="0"/>
      </w:r>
    </w:p>
    <w:p>
      <w:pPr>
        <w:pStyle w:val="Body"/>
        <w:widowControl w:val="0"/>
        <w:rPr>
          <w:rStyle w:val="None"/>
          <w:rFonts w:ascii="Times New Roman" w:cs="Times New Roman" w:hAnsi="Times New Roman" w:eastAsia="Times New Roman"/>
          <w:color w:val="333333"/>
          <w:sz w:val="18"/>
          <w:szCs w:val="18"/>
          <w:u w:color="333333"/>
          <w:shd w:val="clear" w:color="auto" w:fill="ffffff"/>
        </w:rPr>
      </w:pPr>
      <w:r>
        <w:rPr>
          <w:rStyle w:val="None"/>
          <w:rFonts w:ascii="Times New Roman" w:hAnsi="Times New Roman"/>
          <w:color w:val="333333"/>
          <w:sz w:val="18"/>
          <w:szCs w:val="18"/>
          <w:u w:color="333333"/>
          <w:shd w:val="clear" w:color="auto" w:fill="ffffff"/>
          <w:rtl w:val="0"/>
          <w:lang w:val="en-US"/>
        </w:rPr>
        <w:t xml:space="preserve">Lein, L., Rickards, R., &amp; Fabelo, T. (1992). The Attitudes of Criminal Justice Practitioners Toward Sentencing Issues. </w:t>
      </w:r>
      <w:r>
        <w:rPr>
          <w:rStyle w:val="None"/>
          <w:rFonts w:ascii="Times New Roman" w:hAnsi="Times New Roman"/>
          <w:i w:val="1"/>
          <w:iCs w:val="1"/>
          <w:color w:val="333333"/>
          <w:sz w:val="18"/>
          <w:szCs w:val="18"/>
          <w:u w:color="333333"/>
          <w:rtl w:val="0"/>
          <w:lang w:val="en-US"/>
        </w:rPr>
        <w:t>Crime &amp; Delinquency,38</w:t>
      </w:r>
      <w:r>
        <w:rPr>
          <w:rStyle w:val="None"/>
          <w:rFonts w:ascii="Times New Roman" w:hAnsi="Times New Roman"/>
          <w:color w:val="333333"/>
          <w:sz w:val="18"/>
          <w:szCs w:val="18"/>
          <w:u w:color="333333"/>
          <w:shd w:val="clear" w:color="auto" w:fill="ffffff"/>
          <w:rtl w:val="0"/>
        </w:rPr>
        <w:t>(2), 189-203. doi:10.1177/0011128792038002004</w:t>
      </w:r>
    </w:p>
    <w:p>
      <w:pPr>
        <w:pStyle w:val="Body"/>
        <w:widowControl w:val="0"/>
        <w:shd w:val="clear" w:color="auto" w:fill="ffffff"/>
        <w:rPr>
          <w:rStyle w:val="None"/>
          <w:rFonts w:ascii="Times New Roman" w:cs="Times New Roman" w:hAnsi="Times New Roman" w:eastAsia="Times New Roman"/>
          <w:color w:val="333333"/>
          <w:sz w:val="18"/>
          <w:szCs w:val="18"/>
          <w:u w:color="333333"/>
          <w:shd w:val="clear" w:color="auto" w:fill="ffffff"/>
        </w:rPr>
      </w:pPr>
    </w:p>
    <w:p>
      <w:pPr>
        <w:pStyle w:val="Body"/>
        <w:widowControl w:val="0"/>
        <w:shd w:val="clear" w:color="auto" w:fill="ffffff"/>
        <w:rPr>
          <w:rStyle w:val="None"/>
          <w:rFonts w:ascii="Times New Roman" w:cs="Times New Roman" w:hAnsi="Times New Roman" w:eastAsia="Times New Roman"/>
          <w:color w:val="333333"/>
          <w:sz w:val="18"/>
          <w:szCs w:val="18"/>
          <w:u w:color="333333"/>
          <w:shd w:val="clear" w:color="auto" w:fill="ffffff"/>
        </w:rPr>
      </w:pPr>
    </w:p>
    <w:p>
      <w:pPr>
        <w:pStyle w:val="Body"/>
        <w:widowControl w:val="0"/>
        <w:shd w:val="clear" w:color="auto" w:fill="ffffff"/>
        <w:rPr>
          <w:rStyle w:val="Hyperlink.0"/>
        </w:rPr>
      </w:pPr>
      <w:r>
        <w:rPr>
          <w:rStyle w:val="Hyperlink.0"/>
          <w:rtl w:val="0"/>
          <w:lang w:val="en-US"/>
        </w:rPr>
        <w:t xml:space="preserve">Sundt, J., Salisbury, E. J., &amp; Harmon, M. G. (2016). Is Downsizing Prisons Dangerous? </w:t>
      </w:r>
      <w:r>
        <w:rPr>
          <w:rStyle w:val="None"/>
          <w:rFonts w:ascii="Times New Roman" w:hAnsi="Times New Roman"/>
          <w:i w:val="1"/>
          <w:iCs w:val="1"/>
          <w:color w:val="333333"/>
          <w:sz w:val="18"/>
          <w:szCs w:val="18"/>
          <w:u w:color="333333"/>
          <w:rtl w:val="0"/>
          <w:lang w:val="en-US"/>
        </w:rPr>
        <w:t>Criminology &amp; Public Policy,15</w:t>
      </w:r>
      <w:r>
        <w:rPr>
          <w:rStyle w:val="Hyperlink.0"/>
          <w:rtl w:val="0"/>
        </w:rPr>
        <w:t>(2), 315-341. doi:10.1111/1745-9133.12199</w:t>
      </w:r>
    </w:p>
    <w:p>
      <w:pPr>
        <w:pStyle w:val="Body"/>
        <w:widowControl w:val="0"/>
        <w:spacing w:after="100" w:line="480" w:lineRule="auto"/>
        <w:rPr>
          <w:rStyle w:val="None"/>
          <w:rFonts w:ascii="Times New Roman" w:cs="Times New Roman" w:hAnsi="Times New Roman" w:eastAsia="Times New Roman"/>
          <w:color w:val="333333"/>
          <w:sz w:val="18"/>
          <w:szCs w:val="18"/>
          <w:u w:color="333333"/>
        </w:rPr>
      </w:pPr>
    </w:p>
    <w:p>
      <w:pPr>
        <w:pStyle w:val="Body"/>
        <w:widowControl w:val="0"/>
        <w:shd w:val="clear" w:color="auto" w:fill="ffffff"/>
        <w:rPr>
          <w:rStyle w:val="Hyperlink.2"/>
        </w:rPr>
      </w:pP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"http://www.drugpolicy.org/issues/race-and-drug-war"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http://www.drugpolicy.org/issues/race-and-drug-war</w:t>
      </w:r>
    </w:p>
    <w:p>
      <w:pPr>
        <w:pStyle w:val="Body"/>
        <w:widowControl w:val="0"/>
        <w:shd w:val="clear" w:color="auto" w:fill="ffffff"/>
        <w:rPr>
          <w:rStyle w:val="None"/>
          <w:rFonts w:ascii="Times New Roman" w:cs="Times New Roman" w:hAnsi="Times New Roman" w:eastAsia="Times New Roman"/>
          <w:b w:val="1"/>
          <w:bCs w:val="1"/>
          <w:color w:val="1155cc"/>
          <w:sz w:val="18"/>
          <w:szCs w:val="18"/>
          <w:u w:val="single" w:color="1155cc"/>
        </w:rPr>
      </w:pPr>
      <w:r>
        <w:rPr>
          <w:rFonts w:ascii="Times New Roman" w:cs="Times New Roman" w:hAnsi="Times New Roman" w:eastAsia="Times New Roman"/>
          <w:b w:val="1"/>
          <w:bCs w:val="1"/>
          <w:color w:val="1155cc"/>
          <w:sz w:val="18"/>
          <w:szCs w:val="18"/>
          <w:u w:val="single" w:color="1155cc"/>
        </w:rPr>
        <w:fldChar w:fldCharType="end" w:fldLock="0"/>
      </w:r>
    </w:p>
    <w:p>
      <w:pPr>
        <w:pStyle w:val="Body"/>
        <w:widowControl w:val="0"/>
        <w:shd w:val="clear" w:color="auto" w:fill="ffffff"/>
        <w:rPr>
          <w:rStyle w:val="Hyperlink.2"/>
        </w:rPr>
      </w:pP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"http://jaapl.org/content/jaapl/40/4/547.full.pdf"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http://jaapl.org/content/jaapl/40/4/547.full.pdf</w:t>
      </w:r>
    </w:p>
    <w:p>
      <w:pPr>
        <w:pStyle w:val="Body"/>
        <w:widowControl w:val="0"/>
        <w:spacing w:after="100" w:line="480" w:lineRule="auto"/>
      </w:pPr>
      <w:r>
        <w:rPr>
          <w:rStyle w:val="None"/>
          <w:rFonts w:ascii="Times New Roman" w:cs="Times New Roman" w:hAnsi="Times New Roman" w:eastAsia="Times New Roman"/>
          <w:b w:val="1"/>
          <w:bCs w:val="1"/>
          <w:color w:val="1155cc"/>
          <w:sz w:val="18"/>
          <w:szCs w:val="18"/>
          <w:u w:val="single" w:color="1155cc"/>
        </w:rPr>
      </w:r>
      <w:r>
        <w:rPr>
          <w:rFonts w:ascii="Times New Roman" w:cs="Times New Roman" w:hAnsi="Times New Roman" w:eastAsia="Times New Roman"/>
          <w:b w:val="1"/>
          <w:bCs w:val="1"/>
          <w:color w:val="1155cc"/>
          <w:sz w:val="18"/>
          <w:szCs w:val="18"/>
          <w:u w:val="single" w:color="1155cc"/>
        </w:rPr>
        <w:fldChar w:fldCharType="end" w:fldLock="0"/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Times New Roman" w:cs="Times New Roman" w:hAnsi="Times New Roman" w:eastAsia="Times New Roman"/>
      <w:color w:val="333333"/>
      <w:sz w:val="18"/>
      <w:szCs w:val="18"/>
      <w:u w:color="333333"/>
    </w:rPr>
  </w:style>
  <w:style w:type="character" w:styleId="Hyperlink.1">
    <w:name w:val="Hyperlink.1"/>
    <w:basedOn w:val="None"/>
    <w:next w:val="Hyperlink.1"/>
    <w:rPr>
      <w:rFonts w:ascii="Times New Roman" w:cs="Times New Roman" w:hAnsi="Times New Roman" w:eastAsia="Times New Roman"/>
      <w:color w:val="1155cc"/>
      <w:sz w:val="18"/>
      <w:szCs w:val="18"/>
      <w:u w:color="1155cc"/>
    </w:rPr>
  </w:style>
  <w:style w:type="character" w:styleId="Hyperlink.2">
    <w:name w:val="Hyperlink.2"/>
    <w:basedOn w:val="None"/>
    <w:next w:val="Hyperlink.2"/>
    <w:rPr>
      <w:rFonts w:ascii="Times New Roman" w:cs="Times New Roman" w:hAnsi="Times New Roman" w:eastAsia="Times New Roman"/>
      <w:b w:val="1"/>
      <w:bCs w:val="1"/>
      <w:color w:val="1155cc"/>
      <w:sz w:val="18"/>
      <w:szCs w:val="18"/>
      <w:u w:val="single" w:color="1155cc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